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3"/>
        <w:rPr>
          <w:u w:val="none"/>
        </w:rPr>
      </w:pPr>
      <w:hyperlink r:id="rId5">
        <w:r>
          <w:rPr>
            <w:rFonts w:ascii="Times New Roman" w:hAnsi="Times New Roman"/>
            <w:b w:val="0"/>
            <w:color w:val="333333"/>
            <w:spacing w:val="-60"/>
            <w:u w:val="thick" w:color="333333"/>
          </w:rPr>
          <w:t> </w:t>
        </w:r>
        <w:r>
          <w:rPr>
            <w:color w:val="333333"/>
            <w:u w:val="thick" w:color="333333"/>
          </w:rPr>
          <w:t>Постановление Правительства РФ от 17.11.2007 N 781 "Об утверждении</w:t>
        </w:r>
      </w:hyperlink>
    </w:p>
    <w:p>
      <w:pPr>
        <w:spacing w:before="0"/>
        <w:ind w:left="102" w:right="0" w:firstLine="0"/>
        <w:jc w:val="left"/>
        <w:rPr>
          <w:b/>
          <w:sz w:val="24"/>
        </w:rPr>
      </w:pPr>
      <w:hyperlink r:id="rId5">
        <w:r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> </w:t>
        </w:r>
        <w:r>
          <w:rPr>
            <w:b/>
            <w:color w:val="333333"/>
            <w:sz w:val="24"/>
            <w:u w:val="thick" w:color="333333"/>
          </w:rPr>
          <w:t>Положения об обеспечении безопасности персональных данных при </w:t>
        </w:r>
        <w:r>
          <w:rPr>
            <w:b/>
            <w:color w:val="333333"/>
            <w:spacing w:val="3"/>
            <w:sz w:val="24"/>
            <w:u w:val="thick" w:color="333333"/>
          </w:rPr>
          <w:t>их</w:t>
        </w:r>
      </w:hyperlink>
    </w:p>
    <w:p>
      <w:pPr>
        <w:spacing w:before="0"/>
        <w:ind w:left="102" w:right="0" w:firstLine="0"/>
        <w:jc w:val="left"/>
        <w:rPr>
          <w:b/>
          <w:sz w:val="24"/>
        </w:rPr>
      </w:pPr>
      <w:hyperlink r:id="rId5">
        <w:r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> </w:t>
        </w:r>
        <w:r>
          <w:rPr>
            <w:b/>
            <w:color w:val="333333"/>
            <w:sz w:val="24"/>
            <w:u w:val="thick" w:color="333333"/>
          </w:rPr>
          <w:t>обработке в информационных системах персональных данных"</w:t>
        </w:r>
      </w:hyperlink>
    </w:p>
    <w:p>
      <w:pPr>
        <w:pStyle w:val="BodyText"/>
        <w:ind w:left="5932" w:firstLine="2311"/>
        <w:jc w:val="right"/>
      </w:pPr>
      <w:r>
        <w:rPr>
          <w:color w:val="333333"/>
        </w:rPr>
        <w:t>Утверждено Постановлением Правительства</w:t>
      </w:r>
      <w:r>
        <w:rPr>
          <w:color w:val="333333"/>
          <w:w w:val="99"/>
        </w:rPr>
        <w:t> </w:t>
      </w:r>
      <w:r>
        <w:rPr>
          <w:color w:val="333333"/>
        </w:rPr>
        <w:t>Российской Федерации</w:t>
      </w:r>
    </w:p>
    <w:p>
      <w:pPr>
        <w:pStyle w:val="BodyText"/>
        <w:ind w:left="6631" w:right="0" w:firstLine="0"/>
        <w:jc w:val="left"/>
      </w:pPr>
      <w:r>
        <w:rPr>
          <w:color w:val="333333"/>
        </w:rPr>
        <w:t>от 17 ноября 2007 г. N 781</w:t>
      </w:r>
    </w:p>
    <w:p>
      <w:pPr>
        <w:pStyle w:val="BodyText"/>
        <w:ind w:left="0" w:right="0" w:firstLine="0"/>
        <w:jc w:val="left"/>
      </w:pPr>
    </w:p>
    <w:p>
      <w:pPr>
        <w:pStyle w:val="Heading1"/>
        <w:ind w:left="4032" w:right="4040"/>
        <w:jc w:val="center"/>
        <w:rPr>
          <w:u w:val="none"/>
        </w:rPr>
      </w:pPr>
      <w:r>
        <w:rPr>
          <w:color w:val="333333"/>
          <w:u w:val="none"/>
        </w:rPr>
        <w:t>ПОЛОЖЕНИЕ</w:t>
      </w:r>
    </w:p>
    <w:p>
      <w:pPr>
        <w:spacing w:line="364" w:lineRule="auto" w:before="144"/>
        <w:ind w:left="294" w:right="305" w:firstLine="5"/>
        <w:jc w:val="center"/>
        <w:rPr>
          <w:b/>
          <w:sz w:val="24"/>
        </w:rPr>
      </w:pPr>
      <w:r>
        <w:rPr>
          <w:b/>
          <w:color w:val="333333"/>
          <w:sz w:val="24"/>
        </w:rPr>
        <w:t>ОБ ОБЕСПЕЧЕНИИ БЕЗОПАСНОСТИ ПЕРСОНАЛЬНЫХ ДАННЫХ ПРИ ИХ ОБРАБОТКЕ В ИНФОРМАЦИОННЫХ СИСТЕМАХ ПЕРСОНАЛЬНЫХ</w:t>
      </w:r>
      <w:r>
        <w:rPr>
          <w:b/>
          <w:color w:val="333333"/>
          <w:spacing w:val="-23"/>
          <w:sz w:val="24"/>
        </w:rPr>
        <w:t> </w:t>
      </w:r>
      <w:r>
        <w:rPr>
          <w:b/>
          <w:color w:val="333333"/>
          <w:sz w:val="24"/>
        </w:rPr>
        <w:t>ДАННЫХ</w:t>
      </w:r>
    </w:p>
    <w:p>
      <w:pPr>
        <w:pStyle w:val="BodyText"/>
        <w:spacing w:before="4"/>
        <w:ind w:left="0" w:righ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02" w:right="103" w:firstLine="547"/>
        <w:jc w:val="both"/>
        <w:rPr>
          <w:sz w:val="24"/>
        </w:rPr>
      </w:pPr>
      <w:r>
        <w:rPr>
          <w:sz w:val="24"/>
        </w:rPr>
        <w:t>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</w:t>
      </w:r>
      <w:r>
        <w:rPr>
          <w:spacing w:val="-17"/>
          <w:sz w:val="24"/>
        </w:rPr>
        <w:t> </w:t>
      </w:r>
      <w:r>
        <w:rPr>
          <w:sz w:val="24"/>
        </w:rPr>
        <w:t>системы).</w:t>
      </w:r>
    </w:p>
    <w:p>
      <w:pPr>
        <w:pStyle w:val="BodyText"/>
      </w:pPr>
      <w:r>
        <w:rPr/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240" w:lineRule="auto" w:before="0" w:after="0"/>
        <w:ind w:left="102" w:right="104" w:firstLine="547"/>
        <w:jc w:val="both"/>
        <w:rPr>
          <w:sz w:val="24"/>
        </w:rPr>
      </w:pPr>
      <w:r>
        <w:rPr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</w:t>
      </w:r>
      <w:r>
        <w:rPr>
          <w:spacing w:val="-7"/>
          <w:sz w:val="24"/>
        </w:rPr>
        <w:t> </w:t>
      </w:r>
      <w:r>
        <w:rPr>
          <w:sz w:val="24"/>
        </w:rPr>
        <w:t>действий.</w:t>
      </w:r>
    </w:p>
    <w:p>
      <w:pPr>
        <w:pStyle w:val="BodyText"/>
        <w:ind w:right="102"/>
      </w:pPr>
      <w:r>
        <w:rPr/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>
      <w:pPr>
        <w:pStyle w:val="BodyText"/>
        <w:ind w:right="101"/>
      </w:pPr>
      <w:r>
        <w:rPr/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 полей, носителей на бумажной, магнитной, магнитно-оптической и иной</w:t>
      </w:r>
      <w:r>
        <w:rPr>
          <w:spacing w:val="-16"/>
        </w:rPr>
        <w:t> </w:t>
      </w:r>
      <w:r>
        <w:rPr/>
        <w:t>основе.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0" w:after="0"/>
        <w:ind w:left="102" w:right="105" w:firstLine="547"/>
        <w:jc w:val="both"/>
        <w:rPr>
          <w:sz w:val="24"/>
        </w:rPr>
      </w:pPr>
      <w:r>
        <w:rPr>
          <w:sz w:val="24"/>
        </w:rPr>
        <w:t>Методы и способы 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>
      <w:pPr>
        <w:pStyle w:val="BodyText"/>
        <w:ind w:right="108"/>
      </w:pPr>
      <w:r>
        <w:rPr/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</w:t>
      </w:r>
      <w:r>
        <w:rPr>
          <w:spacing w:val="-13"/>
        </w:rPr>
        <w:t> </w:t>
      </w:r>
      <w:r>
        <w:rPr/>
        <w:t>надзора.</w:t>
      </w:r>
    </w:p>
    <w:p>
      <w:pPr>
        <w:spacing w:after="0"/>
        <w:sectPr>
          <w:type w:val="continuous"/>
          <w:pgSz w:w="11910" w:h="16840"/>
          <w:pgMar w:top="500" w:bottom="280" w:left="1600" w:right="600"/>
        </w:sectPr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43" w:after="0"/>
        <w:ind w:left="102" w:right="107" w:firstLine="547"/>
        <w:jc w:val="both"/>
        <w:rPr>
          <w:sz w:val="24"/>
        </w:rPr>
      </w:pPr>
      <w:r>
        <w:rPr>
          <w:sz w:val="24"/>
        </w:rPr>
        <w:t>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</w:t>
      </w:r>
      <w:r>
        <w:rPr>
          <w:spacing w:val="-1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0" w:after="0"/>
        <w:ind w:left="102" w:right="109" w:firstLine="547"/>
        <w:jc w:val="both"/>
        <w:rPr>
          <w:sz w:val="24"/>
        </w:rPr>
      </w:pPr>
      <w:r>
        <w:rPr>
          <w:sz w:val="24"/>
        </w:rPr>
        <w:t>Средства защиты информации, применяемые в информационных системах, в установленном порядке проходят процедуру оценки</w:t>
      </w:r>
      <w:r>
        <w:rPr>
          <w:spacing w:val="-16"/>
          <w:sz w:val="24"/>
        </w:rPr>
        <w:t> </w:t>
      </w:r>
      <w:r>
        <w:rPr>
          <w:sz w:val="24"/>
        </w:rPr>
        <w:t>соответствия.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102" w:right="106" w:firstLine="547"/>
        <w:jc w:val="both"/>
        <w:rPr>
          <w:sz w:val="24"/>
        </w:rPr>
      </w:pPr>
      <w:r>
        <w:rPr>
          <w:sz w:val="24"/>
        </w:rPr>
        <w:t>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</w:t>
      </w:r>
      <w:r>
        <w:rPr>
          <w:spacing w:val="17"/>
          <w:sz w:val="24"/>
        </w:rPr>
        <w:t> </w:t>
      </w:r>
      <w:r>
        <w:rPr>
          <w:sz w:val="24"/>
        </w:rPr>
        <w:t>(далее</w:t>
      </w:r>
    </w:p>
    <w:p>
      <w:pPr>
        <w:pStyle w:val="BodyText"/>
        <w:ind w:right="107" w:firstLine="0"/>
      </w:pPr>
      <w:r>
        <w:rPr/>
        <w:t>- оператор), в зависимости от объема обрабатываемых ими персональных данных  и угроз безопасности жизненно важным интересам личности, общества и государства.</w:t>
      </w:r>
    </w:p>
    <w:p>
      <w:pPr>
        <w:pStyle w:val="BodyText"/>
        <w:tabs>
          <w:tab w:pos="6124" w:val="left" w:leader="none"/>
          <w:tab w:pos="8819" w:val="left" w:leader="none"/>
        </w:tabs>
      </w:pPr>
      <w:r>
        <w:rPr/>
        <w:t>Порядок проведения         </w:t>
      </w:r>
      <w:r>
        <w:rPr>
          <w:spacing w:val="28"/>
        </w:rPr>
        <w:t> </w:t>
      </w:r>
      <w:r>
        <w:rPr/>
        <w:t>классификации</w:t>
        <w:tab/>
        <w:t>информационных</w:t>
        <w:tab/>
        <w:t>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</w:t>
      </w:r>
      <w:r>
        <w:rPr>
          <w:spacing w:val="-24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</w:tabs>
        <w:spacing w:line="240" w:lineRule="auto" w:before="0" w:after="0"/>
        <w:ind w:left="102" w:right="104" w:firstLine="547"/>
        <w:jc w:val="both"/>
        <w:rPr>
          <w:sz w:val="24"/>
        </w:rPr>
      </w:pPr>
      <w:r>
        <w:rPr>
          <w:sz w:val="24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</w:t>
      </w:r>
      <w:r>
        <w:rPr>
          <w:spacing w:val="-6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02" w:right="104" w:firstLine="547"/>
        <w:jc w:val="both"/>
        <w:rPr>
          <w:sz w:val="24"/>
        </w:rPr>
      </w:pPr>
      <w:r>
        <w:rPr>
          <w:sz w:val="24"/>
        </w:rPr>
        <w:t>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 в этих помещениях посторонних</w:t>
      </w:r>
      <w:r>
        <w:rPr>
          <w:spacing w:val="-11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240" w:lineRule="auto" w:before="0" w:after="0"/>
        <w:ind w:left="102" w:right="106" w:firstLine="547"/>
        <w:jc w:val="both"/>
        <w:rPr>
          <w:sz w:val="24"/>
        </w:rPr>
      </w:pPr>
      <w:r>
        <w:rPr>
          <w:sz w:val="24"/>
        </w:rPr>
        <w:t>Возможные каналы утечки информации при обработке персональных данных в информационных системах определяются Федеральной службой по техническому и экспортному контролю и Федеральной службой безопасности Российской Федерации в пределах их</w:t>
      </w:r>
      <w:r>
        <w:rPr>
          <w:spacing w:val="-17"/>
          <w:sz w:val="24"/>
        </w:rPr>
        <w:t> </w:t>
      </w:r>
      <w:r>
        <w:rPr>
          <w:sz w:val="24"/>
        </w:rPr>
        <w:t>полномочий.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0" w:after="0"/>
        <w:ind w:left="102" w:right="101" w:firstLine="547"/>
        <w:jc w:val="both"/>
        <w:rPr>
          <w:sz w:val="24"/>
        </w:rPr>
      </w:pPr>
      <w:r>
        <w:rPr>
          <w:sz w:val="24"/>
        </w:rPr>
        <w:t>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</w:t>
      </w:r>
      <w:r>
        <w:rPr>
          <w:spacing w:val="-16"/>
          <w:sz w:val="24"/>
        </w:rPr>
        <w:t> </w:t>
      </w:r>
      <w:r>
        <w:rPr>
          <w:sz w:val="24"/>
        </w:rPr>
        <w:t>системе.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0" w:after="0"/>
        <w:ind w:left="102" w:right="111" w:firstLine="547"/>
        <w:jc w:val="both"/>
        <w:rPr>
          <w:sz w:val="24"/>
        </w:rPr>
      </w:pPr>
      <w:r>
        <w:rPr>
          <w:sz w:val="24"/>
        </w:rPr>
        <w:t>При обработке персональных данных в информационной системе должно быть</w:t>
      </w:r>
      <w:r>
        <w:rPr>
          <w:spacing w:val="-2"/>
          <w:sz w:val="24"/>
        </w:rPr>
        <w:t> </w:t>
      </w:r>
      <w:r>
        <w:rPr>
          <w:sz w:val="24"/>
        </w:rPr>
        <w:t>обеспечено:</w:t>
      </w:r>
    </w:p>
    <w:p>
      <w:pPr>
        <w:pStyle w:val="BodyText"/>
        <w:ind w:right="109"/>
      </w:pPr>
      <w:r>
        <w:rPr/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>
      <w:pPr>
        <w:pStyle w:val="BodyText"/>
        <w:ind w:right="110"/>
      </w:pPr>
      <w:r>
        <w:rPr/>
        <w:t>б) своевременное обнаружение фактов несанкционированного доступа к персональным данным;</w:t>
      </w:r>
    </w:p>
    <w:p>
      <w:pPr>
        <w:pStyle w:val="BodyText"/>
        <w:ind w:right="107"/>
      </w:pPr>
      <w:r>
        <w:rPr/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>
      <w:pPr>
        <w:pStyle w:val="BodyText"/>
        <w:ind w:right="106"/>
      </w:pPr>
      <w:r>
        <w:rPr/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>
      <w:pPr>
        <w:pStyle w:val="BodyText"/>
        <w:ind w:right="106"/>
      </w:pPr>
      <w:r>
        <w:rPr/>
        <w:t>д) постоянный контроль за обеспечением уровня защищенности персональных данных.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0" w:lineRule="auto" w:before="0" w:after="0"/>
        <w:ind w:left="102" w:right="106" w:firstLine="547"/>
        <w:jc w:val="both"/>
        <w:rPr>
          <w:sz w:val="24"/>
        </w:rPr>
      </w:pPr>
      <w:r>
        <w:rPr>
          <w:sz w:val="24"/>
        </w:rPr>
        <w:t>Мероприятия по обеспечению безопасности персональных данных при их обработке в информационных системах включают в</w:t>
      </w:r>
      <w:r>
        <w:rPr>
          <w:spacing w:val="-13"/>
          <w:sz w:val="24"/>
        </w:rPr>
        <w:t> </w:t>
      </w:r>
      <w:r>
        <w:rPr>
          <w:sz w:val="24"/>
        </w:rPr>
        <w:t>себя:</w:t>
      </w:r>
    </w:p>
    <w:p>
      <w:pPr>
        <w:pStyle w:val="BodyText"/>
        <w:ind w:right="108"/>
      </w:pPr>
      <w:r>
        <w:rPr/>
        <w:t>а) определение угроз безопасности персональных данных при их обработке, формирование на их основе модели угроз;</w:t>
      </w:r>
    </w:p>
    <w:p>
      <w:pPr>
        <w:pStyle w:val="BodyText"/>
        <w:ind w:right="101"/>
      </w:pPr>
      <w:r>
        <w:rPr/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</w:t>
      </w:r>
    </w:p>
    <w:p>
      <w:pPr>
        <w:spacing w:after="0"/>
        <w:sectPr>
          <w:pgSz w:w="11910" w:h="16840"/>
          <w:pgMar w:top="500" w:bottom="280" w:left="1600" w:right="600"/>
        </w:sectPr>
      </w:pPr>
    </w:p>
    <w:p>
      <w:pPr>
        <w:pStyle w:val="BodyText"/>
        <w:spacing w:before="43"/>
        <w:ind w:right="93" w:firstLine="0"/>
        <w:jc w:val="left"/>
      </w:pPr>
      <w:r>
        <w:rPr/>
        <w:t>и способов защиты персональных данных, предусмотренных для соответствующего класса информационных систем;</w:t>
      </w:r>
    </w:p>
    <w:p>
      <w:pPr>
        <w:pStyle w:val="BodyText"/>
        <w:ind w:right="109"/>
      </w:pPr>
      <w:r>
        <w:rPr/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>
      <w:pPr>
        <w:pStyle w:val="BodyText"/>
      </w:pPr>
      <w:r>
        <w:rPr/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>
      <w:pPr>
        <w:pStyle w:val="BodyText"/>
        <w:ind w:right="109"/>
      </w:pPr>
      <w:r>
        <w:rPr/>
        <w:t>д) обучение лиц, использующих средства защиты информации, применяемые  в информационных системах, правилам работы с</w:t>
      </w:r>
      <w:r>
        <w:rPr>
          <w:spacing w:val="-13"/>
        </w:rPr>
        <w:t> </w:t>
      </w:r>
      <w:r>
        <w:rPr/>
        <w:t>ними;</w:t>
      </w:r>
    </w:p>
    <w:p>
      <w:pPr>
        <w:pStyle w:val="BodyText"/>
        <w:ind w:right="105"/>
      </w:pPr>
      <w:r>
        <w:rPr/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>
      <w:pPr>
        <w:pStyle w:val="BodyText"/>
        <w:ind w:right="108"/>
      </w:pPr>
      <w:r>
        <w:rPr/>
        <w:t>ж) учет лиц, допущенных к работе с персональными данными в информационной системе;</w:t>
      </w:r>
    </w:p>
    <w:p>
      <w:pPr>
        <w:pStyle w:val="BodyText"/>
        <w:ind w:right="104"/>
      </w:pPr>
      <w:r>
        <w:rPr/>
        <w:t>з)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>
      <w:pPr>
        <w:pStyle w:val="BodyText"/>
      </w:pPr>
      <w:r>
        <w:rPr/>
        <w:t>и) разбирательство и составление заключений по фактам несоблюдения условий хранения носителей персональных данных, использования средств 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</w:t>
      </w:r>
      <w:r>
        <w:rPr>
          <w:spacing w:val="-17"/>
        </w:rPr>
        <w:t> </w:t>
      </w:r>
      <w:r>
        <w:rPr/>
        <w:t>нарушений;</w:t>
      </w:r>
    </w:p>
    <w:p>
      <w:pPr>
        <w:pStyle w:val="BodyText"/>
        <w:ind w:left="649" w:right="0" w:firstLine="0"/>
        <w:jc w:val="left"/>
      </w:pPr>
      <w:r>
        <w:rPr/>
        <w:t>к) описание системы защиты персональных данных.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40" w:lineRule="auto" w:before="0" w:after="0"/>
        <w:ind w:left="102" w:right="103" w:firstLine="547"/>
        <w:jc w:val="both"/>
        <w:rPr>
          <w:sz w:val="24"/>
        </w:rPr>
      </w:pPr>
      <w:r>
        <w:rPr>
          <w:sz w:val="24"/>
        </w:rPr>
        <w:t>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</w:t>
      </w:r>
      <w:r>
        <w:rPr>
          <w:spacing w:val="-1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0" w:lineRule="auto" w:before="0" w:after="0"/>
        <w:ind w:left="102" w:right="103" w:firstLine="547"/>
        <w:jc w:val="both"/>
        <w:rPr>
          <w:sz w:val="24"/>
        </w:rPr>
      </w:pPr>
      <w:r>
        <w:rPr>
          <w:sz w:val="24"/>
        </w:rPr>
        <w:t>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</w:t>
      </w:r>
      <w:r>
        <w:rPr>
          <w:spacing w:val="-18"/>
          <w:sz w:val="24"/>
        </w:rPr>
        <w:t> </w:t>
      </w:r>
      <w:r>
        <w:rPr>
          <w:sz w:val="24"/>
        </w:rPr>
        <w:t>лицом.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40" w:lineRule="auto" w:before="0" w:after="0"/>
        <w:ind w:left="102" w:right="104" w:firstLine="547"/>
        <w:jc w:val="both"/>
        <w:rPr>
          <w:sz w:val="24"/>
        </w:rPr>
      </w:pPr>
      <w:r>
        <w:rPr>
          <w:sz w:val="24"/>
        </w:rPr>
        <w:t>Запросы пользователей информационной системы на получение персональных данных, включая лиц, указанных в </w:t>
      </w:r>
      <w:hyperlink r:id="rId6">
        <w:r>
          <w:rPr>
            <w:color w:val="666699"/>
            <w:sz w:val="24"/>
            <w:u w:val="single" w:color="666699"/>
          </w:rPr>
          <w:t>пункте 14 </w:t>
        </w:r>
      </w:hyperlink>
      <w:r>
        <w:rPr>
          <w:sz w:val="24"/>
        </w:rPr>
        <w:t>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</w:t>
      </w:r>
      <w:r>
        <w:rPr>
          <w:spacing w:val="-16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40" w:lineRule="auto" w:before="0" w:after="0"/>
        <w:ind w:left="102" w:right="103" w:firstLine="547"/>
        <w:jc w:val="both"/>
        <w:rPr>
          <w:sz w:val="24"/>
        </w:rPr>
      </w:pPr>
      <w:r>
        <w:rPr>
          <w:sz w:val="24"/>
        </w:rPr>
        <w:t>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</w:t>
      </w:r>
      <w:r>
        <w:rPr>
          <w:spacing w:val="-10"/>
          <w:sz w:val="24"/>
        </w:rPr>
        <w:t> </w:t>
      </w:r>
      <w:r>
        <w:rPr>
          <w:sz w:val="24"/>
        </w:rPr>
        <w:t>причин.</w:t>
      </w: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40" w:lineRule="auto" w:before="0" w:after="0"/>
        <w:ind w:left="102" w:right="108" w:firstLine="547"/>
        <w:jc w:val="both"/>
        <w:rPr>
          <w:sz w:val="24"/>
        </w:rPr>
      </w:pPr>
      <w:r>
        <w:rPr>
          <w:sz w:val="24"/>
        </w:rPr>
        <w:t>Реализация требований по обеспечению безопасности информации в средствах защиты информации возлагается на их</w:t>
      </w:r>
      <w:r>
        <w:rPr>
          <w:spacing w:val="-19"/>
          <w:sz w:val="24"/>
        </w:rPr>
        <w:t> </w:t>
      </w:r>
      <w:r>
        <w:rPr>
          <w:sz w:val="24"/>
        </w:rPr>
        <w:t>разработчиков.</w:t>
      </w:r>
    </w:p>
    <w:p>
      <w:pPr>
        <w:pStyle w:val="BodyText"/>
        <w:ind w:right="98"/>
      </w:pPr>
      <w:r>
        <w:rPr/>
        <w:t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 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>
      <w:pPr>
        <w:pStyle w:val="BodyText"/>
        <w:ind w:right="102"/>
      </w:pPr>
      <w:r>
        <w:rPr/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</w:tabs>
        <w:spacing w:line="240" w:lineRule="auto" w:before="0" w:after="0"/>
        <w:ind w:left="102" w:right="104" w:firstLine="547"/>
        <w:jc w:val="both"/>
        <w:rPr>
          <w:sz w:val="24"/>
        </w:rPr>
      </w:pPr>
      <w:r>
        <w:rPr>
          <w:sz w:val="24"/>
        </w:rPr>
        <w:t>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</w:t>
      </w:r>
      <w:r>
        <w:rPr>
          <w:spacing w:val="7"/>
          <w:sz w:val="24"/>
        </w:rPr>
        <w:t> </w:t>
      </w:r>
      <w:r>
        <w:rPr>
          <w:sz w:val="24"/>
        </w:rPr>
        <w:t>оцениваются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500" w:bottom="0" w:left="1600" w:right="600"/>
        </w:sectPr>
      </w:pPr>
    </w:p>
    <w:p>
      <w:pPr>
        <w:pStyle w:val="BodyText"/>
        <w:spacing w:before="43"/>
        <w:ind w:right="108" w:firstLine="0"/>
      </w:pPr>
      <w:r>
        <w:rPr/>
        <w:t>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40" w:lineRule="auto" w:before="0" w:after="0"/>
        <w:ind w:left="102" w:right="102" w:firstLine="547"/>
        <w:jc w:val="both"/>
        <w:rPr>
          <w:sz w:val="24"/>
        </w:rPr>
      </w:pPr>
      <w:r>
        <w:rPr>
          <w:sz w:val="24"/>
        </w:rPr>
        <w:t>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</w:t>
      </w:r>
      <w:r>
        <w:rPr>
          <w:spacing w:val="-19"/>
          <w:sz w:val="24"/>
        </w:rPr>
        <w:t> </w:t>
      </w:r>
      <w:r>
        <w:rPr>
          <w:sz w:val="24"/>
        </w:rPr>
        <w:t>полномочий.</w:t>
      </w:r>
    </w:p>
    <w:p>
      <w:pPr>
        <w:pStyle w:val="BodyText"/>
        <w:ind w:right="107"/>
      </w:pPr>
      <w:r>
        <w:rPr/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0" w:after="0"/>
        <w:ind w:left="102" w:right="105" w:firstLine="547"/>
        <w:jc w:val="both"/>
        <w:rPr>
          <w:sz w:val="24"/>
        </w:rPr>
      </w:pPr>
      <w:r>
        <w:rPr>
          <w:sz w:val="24"/>
        </w:rPr>
        <w:t>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</w:t>
      </w:r>
      <w:r>
        <w:rPr>
          <w:spacing w:val="-18"/>
          <w:sz w:val="24"/>
        </w:rPr>
        <w:t> </w:t>
      </w:r>
      <w:r>
        <w:rPr>
          <w:sz w:val="24"/>
        </w:rPr>
        <w:t>полномочий.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240" w:lineRule="auto" w:before="0" w:after="0"/>
        <w:ind w:left="102" w:right="104" w:firstLine="547"/>
        <w:jc w:val="both"/>
        <w:rPr>
          <w:sz w:val="24"/>
        </w:rPr>
      </w:pPr>
      <w:hyperlink r:id="rId7">
        <w:r>
          <w:rPr>
            <w:rFonts w:ascii="Times New Roman" w:hAnsi="Times New Roman"/>
            <w:color w:val="666699"/>
            <w:spacing w:val="-60"/>
            <w:sz w:val="24"/>
            <w:u w:val="single" w:color="666699"/>
          </w:rPr>
          <w:t> </w:t>
        </w:r>
        <w:r>
          <w:rPr>
            <w:color w:val="666699"/>
            <w:sz w:val="24"/>
            <w:u w:val="single" w:color="666699"/>
          </w:rPr>
          <w:t>Особенности </w:t>
        </w:r>
      </w:hyperlink>
      <w:r>
        <w:rPr>
          <w:sz w:val="24"/>
        </w:rPr>
        <w:t>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Федерации.</w:t>
      </w:r>
    </w:p>
    <w:sectPr>
      <w:pgSz w:w="11910" w:h="16840"/>
      <w:pgMar w:top="500" w:bottom="280" w:left="1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478"/>
        <w:jc w:val="left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60" w:hanging="4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1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1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2" w:right="103" w:firstLine="547"/>
      <w:jc w:val="both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02" w:right="104" w:firstLine="54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nsultant.ru/document/cons_doc_LAW_72596/" TargetMode="External"/><Relationship Id="rId6" Type="http://schemas.openxmlformats.org/officeDocument/2006/relationships/hyperlink" Target="http://www.consultant.ru/document/cons_doc_LAW_72596/67888e9423cba3651feb713caafa75c79758a3f1/#dst100043" TargetMode="External"/><Relationship Id="rId7" Type="http://schemas.openxmlformats.org/officeDocument/2006/relationships/hyperlink" Target="http://www.consultant.ru/document/cons_doc_LAW_52098/#dst100011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2016-03-11T13:24:18Z</dcterms:created>
  <dcterms:modified xsi:type="dcterms:W3CDTF">2016-03-11T13:24:18Z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2016-03-11T00:00:00Z</vt:filetime>
  </property>
</Properties>
</file>